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E9852D" w14:textId="79816C15" w:rsidR="005B7EE5" w:rsidRDefault="00B86B66" w:rsidP="60D4F1AC">
      <w:pPr>
        <w:jc w:val="center"/>
        <w:rPr>
          <w:rFonts w:ascii="Arial" w:hAnsi="Arial" w:cs="Arial"/>
          <w:sz w:val="20"/>
          <w:szCs w:val="20"/>
        </w:rPr>
      </w:pPr>
      <w:r>
        <w:rPr>
          <w:noProof/>
        </w:rPr>
        <w:drawing>
          <wp:anchor distT="0" distB="0" distL="114935" distR="114935" simplePos="0" relativeHeight="251658240" behindDoc="1" locked="0" layoutInCell="1" allowOverlap="1" wp14:anchorId="73F06C77" wp14:editId="39DF6C0E">
            <wp:simplePos x="0" y="0"/>
            <wp:positionH relativeFrom="column">
              <wp:posOffset>-309245</wp:posOffset>
            </wp:positionH>
            <wp:positionV relativeFrom="paragraph">
              <wp:posOffset>-320675</wp:posOffset>
            </wp:positionV>
            <wp:extent cx="848995" cy="753745"/>
            <wp:effectExtent l="0" t="0" r="0" b="0"/>
            <wp:wrapTight wrapText="bothSides">
              <wp:wrapPolygon edited="0">
                <wp:start x="0" y="0"/>
                <wp:lineTo x="0" y="21291"/>
                <wp:lineTo x="21325" y="21291"/>
                <wp:lineTo x="213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8995" cy="753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B7EE5">
        <w:rPr>
          <w:rFonts w:ascii="Arial" w:hAnsi="Arial" w:cs="Arial"/>
          <w:sz w:val="28"/>
          <w:szCs w:val="28"/>
        </w:rPr>
        <w:t xml:space="preserve">Skjema for </w:t>
      </w:r>
      <w:r w:rsidR="0B8AA3A3" w:rsidRPr="60D4F1AC">
        <w:rPr>
          <w:rFonts w:ascii="Arial" w:hAnsi="Arial" w:cs="Arial"/>
          <w:b/>
          <w:bCs/>
          <w:sz w:val="36"/>
          <w:szCs w:val="36"/>
        </w:rPr>
        <w:t>P</w:t>
      </w:r>
      <w:r w:rsidR="31C64802" w:rsidRPr="60D4F1AC">
        <w:rPr>
          <w:rFonts w:ascii="Arial" w:hAnsi="Arial" w:cs="Arial"/>
          <w:b/>
          <w:bCs/>
          <w:sz w:val="36"/>
          <w:szCs w:val="36"/>
        </w:rPr>
        <w:t>ROTEST/</w:t>
      </w:r>
      <w:r w:rsidR="005B7EE5" w:rsidRPr="60D4F1AC">
        <w:rPr>
          <w:rFonts w:ascii="Arial" w:hAnsi="Arial" w:cs="Arial"/>
          <w:b/>
          <w:bCs/>
        </w:rPr>
        <w:t xml:space="preserve"> </w:t>
      </w:r>
      <w:r w:rsidR="005B7EE5" w:rsidRPr="60D4F1AC">
        <w:rPr>
          <w:rFonts w:ascii="Arial" w:hAnsi="Arial" w:cs="Arial"/>
          <w:b/>
          <w:bCs/>
          <w:sz w:val="28"/>
          <w:szCs w:val="28"/>
        </w:rPr>
        <w:t xml:space="preserve">ifølge regel </w:t>
      </w:r>
      <w:r w:rsidR="008739CF" w:rsidRPr="60D4F1AC">
        <w:rPr>
          <w:rFonts w:ascii="Arial" w:hAnsi="Arial" w:cs="Arial"/>
          <w:b/>
          <w:bCs/>
          <w:sz w:val="28"/>
          <w:szCs w:val="28"/>
        </w:rPr>
        <w:t>TR 8</w:t>
      </w:r>
    </w:p>
    <w:p w14:paraId="29A6E7FD" w14:textId="04241C17" w:rsidR="005B7EE5" w:rsidRDefault="005B7EE5">
      <w:pPr>
        <w:rPr>
          <w:rFonts w:ascii="Arial" w:hAnsi="Arial" w:cs="Arial"/>
          <w:sz w:val="20"/>
          <w:szCs w:val="20"/>
        </w:rPr>
      </w:pPr>
      <w:r w:rsidRPr="73BF6F63">
        <w:rPr>
          <w:rFonts w:ascii="Arial" w:hAnsi="Arial" w:cs="Arial"/>
          <w:sz w:val="20"/>
          <w:szCs w:val="20"/>
        </w:rPr>
        <w:t xml:space="preserve">En </w:t>
      </w:r>
      <w:r w:rsidR="18973E71" w:rsidRPr="73BF6F63">
        <w:rPr>
          <w:rFonts w:ascii="Arial" w:hAnsi="Arial" w:cs="Arial"/>
          <w:sz w:val="20"/>
          <w:szCs w:val="20"/>
        </w:rPr>
        <w:t>protest</w:t>
      </w:r>
      <w:r w:rsidRPr="73BF6F63">
        <w:rPr>
          <w:rFonts w:ascii="Arial" w:hAnsi="Arial" w:cs="Arial"/>
          <w:sz w:val="20"/>
          <w:szCs w:val="20"/>
        </w:rPr>
        <w:t xml:space="preserve"> skal tas opp med overdommer. Hvis overdommer opprettholder sin</w:t>
      </w:r>
      <w:r w:rsidR="282AFCC3" w:rsidRPr="73BF6F63">
        <w:rPr>
          <w:rFonts w:ascii="Arial" w:hAnsi="Arial" w:cs="Arial"/>
          <w:sz w:val="20"/>
          <w:szCs w:val="20"/>
        </w:rPr>
        <w:t xml:space="preserve"> </w:t>
      </w:r>
      <w:r w:rsidRPr="73BF6F63">
        <w:rPr>
          <w:rFonts w:ascii="Arial" w:hAnsi="Arial" w:cs="Arial"/>
          <w:sz w:val="20"/>
          <w:szCs w:val="20"/>
        </w:rPr>
        <w:t>beslutning</w:t>
      </w:r>
      <w:r w:rsidR="3D6F9007" w:rsidRPr="73BF6F63">
        <w:rPr>
          <w:rFonts w:ascii="Arial" w:hAnsi="Arial" w:cs="Arial"/>
          <w:sz w:val="20"/>
          <w:szCs w:val="20"/>
        </w:rPr>
        <w:t xml:space="preserve">, </w:t>
      </w:r>
      <w:r w:rsidRPr="73BF6F63">
        <w:rPr>
          <w:rFonts w:ascii="Arial" w:hAnsi="Arial" w:cs="Arial"/>
          <w:sz w:val="20"/>
          <w:szCs w:val="20"/>
        </w:rPr>
        <w:t>er det mulig å anke avgjørelsen til juryen. Det må gjøres skriftlig og være underskrevet av utøveren eller en ansvarlig lagleder på vegne av utøveren.</w:t>
      </w:r>
    </w:p>
    <w:p w14:paraId="031EAA2F" w14:textId="60BEA128" w:rsidR="005B7EE5" w:rsidRDefault="22603B4D" w:rsidP="60D4F1AC">
      <w:pPr>
        <w:rPr>
          <w:rFonts w:ascii="Arial" w:hAnsi="Arial" w:cs="Arial"/>
          <w:i/>
          <w:iCs/>
        </w:rPr>
      </w:pPr>
      <w:r w:rsidRPr="60D4F1AC">
        <w:rPr>
          <w:rFonts w:ascii="Arial" w:hAnsi="Arial" w:cs="Arial"/>
          <w:sz w:val="20"/>
          <w:szCs w:val="20"/>
        </w:rPr>
        <w:t>Protest</w:t>
      </w:r>
      <w:r w:rsidR="00035CA2" w:rsidRPr="60D4F1AC">
        <w:rPr>
          <w:rFonts w:ascii="Arial" w:hAnsi="Arial" w:cs="Arial"/>
          <w:sz w:val="20"/>
          <w:szCs w:val="20"/>
        </w:rPr>
        <w:t>en</w:t>
      </w:r>
      <w:r w:rsidR="005B7EE5" w:rsidRPr="60D4F1AC">
        <w:rPr>
          <w:rFonts w:ascii="Arial" w:hAnsi="Arial" w:cs="Arial"/>
          <w:sz w:val="20"/>
          <w:szCs w:val="20"/>
        </w:rPr>
        <w:t xml:space="preserve"> leveres til sekretariatet senest 30 minutter etter at overdommers beslutning (resultatet) er offentliggjort. I nasjonale stevner skal betales et depositum på kr 100,-, i norske mesterskap, inkludert ungdomsmesterskapet, skal betales depositum kr 250,-.</w:t>
      </w:r>
    </w:p>
    <w:p w14:paraId="4A73754F"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sz w:val="16"/>
          <w:szCs w:val="16"/>
        </w:rPr>
      </w:pPr>
      <w:r>
        <w:rPr>
          <w:rFonts w:ascii="Arial" w:hAnsi="Arial" w:cs="Arial"/>
          <w:i/>
        </w:rPr>
        <w:t>Stevnets navn:</w:t>
      </w:r>
    </w:p>
    <w:p w14:paraId="4A68464C"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i/>
          <w:sz w:val="16"/>
          <w:szCs w:val="16"/>
        </w:rPr>
      </w:pPr>
    </w:p>
    <w:p w14:paraId="1D5D9FFD" w14:textId="77777777" w:rsidR="005B7EE5" w:rsidRDefault="005B7EE5">
      <w:pPr>
        <w:spacing w:after="0"/>
        <w:rPr>
          <w:rFonts w:ascii="Arial" w:hAnsi="Arial" w:cs="Arial"/>
          <w:sz w:val="6"/>
          <w:szCs w:val="6"/>
        </w:rPr>
      </w:pPr>
    </w:p>
    <w:p w14:paraId="2BCF603D" w14:textId="10544F6F" w:rsidR="005B7EE5" w:rsidRDefault="093C95B1" w:rsidP="261F3763">
      <w:pPr>
        <w:pBdr>
          <w:top w:val="single" w:sz="4" w:space="1" w:color="000000"/>
          <w:left w:val="single" w:sz="4" w:space="4" w:color="000000"/>
          <w:bottom w:val="single" w:sz="4" w:space="1" w:color="000000"/>
          <w:right w:val="single" w:sz="4" w:space="4" w:color="000000"/>
        </w:pBdr>
        <w:spacing w:after="0"/>
        <w:rPr>
          <w:rFonts w:ascii="Arial" w:hAnsi="Arial" w:cs="Arial"/>
        </w:rPr>
      </w:pPr>
      <w:r w:rsidRPr="261F3763">
        <w:rPr>
          <w:rFonts w:ascii="Arial" w:hAnsi="Arial" w:cs="Arial"/>
          <w:i/>
          <w:iCs/>
        </w:rPr>
        <w:t>Utøvers navn</w:t>
      </w:r>
      <w:r w:rsidRPr="261F3763">
        <w:rPr>
          <w:rFonts w:ascii="Arial" w:hAnsi="Arial" w:cs="Arial"/>
        </w:rPr>
        <w:t>:</w:t>
      </w:r>
      <w:r w:rsidR="005B7EE5">
        <w:tab/>
      </w:r>
      <w:r w:rsidR="005B7EE5">
        <w:tab/>
      </w:r>
      <w:r w:rsidR="005B7EE5">
        <w:tab/>
      </w:r>
      <w:r w:rsidR="005B7EE5">
        <w:tab/>
      </w:r>
      <w:r w:rsidR="005B7EE5">
        <w:tab/>
      </w:r>
      <w:r w:rsidR="005B7EE5">
        <w:tab/>
      </w:r>
      <w:r w:rsidRPr="261F3763">
        <w:rPr>
          <w:rFonts w:ascii="Arial" w:hAnsi="Arial" w:cs="Arial"/>
          <w:i/>
          <w:iCs/>
        </w:rPr>
        <w:t>Klubb</w:t>
      </w:r>
      <w:r w:rsidRPr="261F3763">
        <w:rPr>
          <w:rFonts w:ascii="Arial" w:hAnsi="Arial" w:cs="Arial"/>
        </w:rPr>
        <w:t>:</w:t>
      </w:r>
    </w:p>
    <w:p w14:paraId="4DABC7E5"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rPr>
      </w:pPr>
    </w:p>
    <w:p w14:paraId="52207DD2" w14:textId="77777777" w:rsidR="005B7EE5" w:rsidRDefault="005B7EE5">
      <w:pPr>
        <w:rPr>
          <w:rFonts w:ascii="Arial" w:hAnsi="Arial" w:cs="Arial"/>
          <w:sz w:val="12"/>
          <w:szCs w:val="12"/>
        </w:rPr>
      </w:pPr>
    </w:p>
    <w:p w14:paraId="4387D521" w14:textId="1C90D2CB" w:rsidR="005B7EE5" w:rsidRDefault="005B7EE5" w:rsidP="60D4F1AC">
      <w:pPr>
        <w:pBdr>
          <w:top w:val="single" w:sz="4" w:space="1" w:color="000000"/>
          <w:left w:val="single" w:sz="4" w:space="4" w:color="000000"/>
          <w:bottom w:val="single" w:sz="4" w:space="1" w:color="000000"/>
          <w:right w:val="single" w:sz="4" w:space="4" w:color="000000"/>
        </w:pBdr>
        <w:rPr>
          <w:rFonts w:ascii="Arial" w:hAnsi="Arial" w:cs="Arial"/>
        </w:rPr>
      </w:pPr>
      <w:r w:rsidRPr="60D4F1AC">
        <w:rPr>
          <w:rFonts w:ascii="Arial" w:hAnsi="Arial" w:cs="Arial"/>
          <w:i/>
          <w:iCs/>
        </w:rPr>
        <w:t xml:space="preserve">Bakgrunn for </w:t>
      </w:r>
      <w:r w:rsidR="01CF5252" w:rsidRPr="60D4F1AC">
        <w:rPr>
          <w:rFonts w:ascii="Arial" w:hAnsi="Arial" w:cs="Arial"/>
          <w:i/>
          <w:iCs/>
        </w:rPr>
        <w:t>protest</w:t>
      </w:r>
      <w:r w:rsidR="00035CA2" w:rsidRPr="60D4F1AC">
        <w:rPr>
          <w:rFonts w:ascii="Arial" w:hAnsi="Arial" w:cs="Arial"/>
          <w:i/>
          <w:iCs/>
        </w:rPr>
        <w:t>en</w:t>
      </w:r>
      <w:r w:rsidRPr="60D4F1AC">
        <w:rPr>
          <w:rFonts w:ascii="Arial" w:hAnsi="Arial" w:cs="Arial"/>
        </w:rPr>
        <w:t>:</w:t>
      </w:r>
    </w:p>
    <w:p w14:paraId="4D0825C9"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4C9E5ED8"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72A9619A"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671248AE"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437B1F3E"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656A53CE"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3B1DEE36"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rPr>
      </w:pPr>
    </w:p>
    <w:p w14:paraId="0648686F"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i/>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sz w:val="20"/>
          <w:szCs w:val="20"/>
        </w:rPr>
        <w:t>Underskrift utøver/rep:</w:t>
      </w:r>
    </w:p>
    <w:p w14:paraId="22DB237F" w14:textId="77777777" w:rsidR="005B7EE5" w:rsidRDefault="005B7EE5">
      <w:pPr>
        <w:pBdr>
          <w:top w:val="single" w:sz="4" w:space="1" w:color="000000"/>
          <w:left w:val="single" w:sz="4" w:space="4" w:color="000000"/>
          <w:bottom w:val="single" w:sz="4" w:space="1" w:color="000000"/>
          <w:right w:val="single" w:sz="4" w:space="4" w:color="000000"/>
        </w:pBdr>
        <w:rPr>
          <w:rFonts w:ascii="Arial" w:hAnsi="Arial" w:cs="Arial"/>
          <w:i/>
          <w:sz w:val="20"/>
          <w:szCs w:val="20"/>
        </w:rPr>
      </w:pPr>
    </w:p>
    <w:p w14:paraId="4BED8951" w14:textId="55C7FBE4" w:rsidR="005B7EE5" w:rsidRDefault="005B7EE5" w:rsidP="60D4F1AC">
      <w:pPr>
        <w:pBdr>
          <w:top w:val="single" w:sz="4" w:space="1" w:color="000000"/>
          <w:left w:val="single" w:sz="4" w:space="4" w:color="000000"/>
          <w:bottom w:val="single" w:sz="4" w:space="1" w:color="000000"/>
          <w:right w:val="single" w:sz="4" w:space="4" w:color="000000"/>
        </w:pBdr>
        <w:rPr>
          <w:rFonts w:ascii="Arial" w:hAnsi="Arial" w:cs="Arial"/>
          <w:sz w:val="6"/>
          <w:szCs w:val="6"/>
        </w:rPr>
      </w:pPr>
      <w:r w:rsidRPr="60D4F1AC">
        <w:rPr>
          <w:rFonts w:ascii="Arial" w:hAnsi="Arial" w:cs="Arial"/>
          <w:i/>
          <w:iCs/>
          <w:sz w:val="16"/>
          <w:szCs w:val="16"/>
        </w:rPr>
        <w:t>(Hvis for liten plass, bruk baksiden av arket eller eget ark)</w:t>
      </w:r>
      <w:r w:rsidR="412E574C" w:rsidRPr="60D4F1AC">
        <w:rPr>
          <w:rFonts w:ascii="Arial" w:hAnsi="Arial" w:cs="Arial"/>
          <w:i/>
          <w:iCs/>
          <w:sz w:val="16"/>
          <w:szCs w:val="16"/>
        </w:rPr>
        <w:t>:</w:t>
      </w:r>
      <w:r>
        <w:tab/>
      </w:r>
      <w:r>
        <w:tab/>
      </w:r>
      <w:r>
        <w:tab/>
      </w:r>
      <w:r w:rsidRPr="60D4F1AC">
        <w:rPr>
          <w:rFonts w:ascii="Arial" w:hAnsi="Arial" w:cs="Arial"/>
          <w:i/>
          <w:iCs/>
          <w:sz w:val="16"/>
          <w:szCs w:val="16"/>
        </w:rPr>
        <w:t>Mob</w:t>
      </w:r>
      <w:r w:rsidR="00337274">
        <w:rPr>
          <w:rFonts w:ascii="Arial" w:hAnsi="Arial" w:cs="Arial"/>
          <w:i/>
          <w:iCs/>
          <w:sz w:val="16"/>
          <w:szCs w:val="16"/>
        </w:rPr>
        <w:t>il</w:t>
      </w:r>
      <w:r w:rsidR="00313FAB">
        <w:rPr>
          <w:rFonts w:ascii="Arial" w:hAnsi="Arial" w:cs="Arial"/>
          <w:i/>
          <w:iCs/>
          <w:sz w:val="16"/>
          <w:szCs w:val="16"/>
        </w:rPr>
        <w:t>:</w:t>
      </w:r>
    </w:p>
    <w:p w14:paraId="72B9BB85" w14:textId="77777777" w:rsidR="005B7EE5" w:rsidRDefault="005B7EE5">
      <w:pPr>
        <w:ind w:firstLine="708"/>
        <w:rPr>
          <w:rFonts w:ascii="Arial" w:hAnsi="Arial" w:cs="Arial"/>
          <w:sz w:val="6"/>
          <w:szCs w:val="6"/>
        </w:rPr>
      </w:pPr>
    </w:p>
    <w:p w14:paraId="5A5BC803" w14:textId="5D642573" w:rsidR="005B7EE5" w:rsidRDefault="17391999" w:rsidP="261F3763">
      <w:pPr>
        <w:pBdr>
          <w:top w:val="single" w:sz="4" w:space="1" w:color="000000"/>
          <w:left w:val="single" w:sz="4" w:space="4" w:color="000000"/>
          <w:bottom w:val="single" w:sz="4" w:space="1" w:color="000000"/>
          <w:right w:val="single" w:sz="4" w:space="4" w:color="000000"/>
        </w:pBdr>
        <w:spacing w:after="0"/>
        <w:rPr>
          <w:rFonts w:ascii="Arial" w:hAnsi="Arial" w:cs="Arial"/>
          <w:i/>
          <w:iCs/>
          <w:sz w:val="20"/>
          <w:szCs w:val="20"/>
        </w:rPr>
      </w:pPr>
      <w:r w:rsidRPr="261F3763">
        <w:rPr>
          <w:rFonts w:ascii="Arial" w:hAnsi="Arial" w:cs="Arial"/>
          <w:i/>
          <w:iCs/>
        </w:rPr>
        <w:t xml:space="preserve">Protest </w:t>
      </w:r>
      <w:r w:rsidR="093C95B1" w:rsidRPr="261F3763">
        <w:rPr>
          <w:rFonts w:ascii="Arial" w:hAnsi="Arial" w:cs="Arial"/>
          <w:i/>
          <w:iCs/>
        </w:rPr>
        <w:t>mottatt kl</w:t>
      </w:r>
      <w:r w:rsidR="41ADCABD" w:rsidRPr="261F3763">
        <w:rPr>
          <w:rFonts w:ascii="Arial" w:hAnsi="Arial" w:cs="Arial"/>
          <w:i/>
          <w:iCs/>
        </w:rPr>
        <w:t>.</w:t>
      </w:r>
      <w:r w:rsidR="093C95B1" w:rsidRPr="261F3763">
        <w:rPr>
          <w:rFonts w:ascii="Arial" w:hAnsi="Arial" w:cs="Arial"/>
          <w:i/>
          <w:iCs/>
        </w:rPr>
        <w:t>:</w:t>
      </w:r>
      <w:r w:rsidR="4D6D6F21">
        <w:tab/>
      </w:r>
      <w:r w:rsidR="4D6D6F21">
        <w:tab/>
      </w:r>
      <w:r w:rsidR="4D6D6F21">
        <w:tab/>
      </w:r>
      <w:r w:rsidR="4D6D6F21">
        <w:tab/>
      </w:r>
      <w:r w:rsidR="093C95B1" w:rsidRPr="261F3763">
        <w:rPr>
          <w:rFonts w:ascii="Arial" w:hAnsi="Arial" w:cs="Arial"/>
          <w:i/>
          <w:iCs/>
          <w:sz w:val="20"/>
          <w:szCs w:val="20"/>
        </w:rPr>
        <w:t>Underskrift arrangøren:</w:t>
      </w:r>
    </w:p>
    <w:p w14:paraId="0E150E1C"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sz w:val="20"/>
          <w:szCs w:val="20"/>
        </w:rPr>
      </w:pPr>
    </w:p>
    <w:p w14:paraId="58CAF4AE"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sz w:val="6"/>
          <w:szCs w:val="6"/>
        </w:rPr>
      </w:pPr>
      <w:r>
        <w:rPr>
          <w:rFonts w:ascii="Arial" w:hAnsi="Arial" w:cs="Arial"/>
          <w:i/>
          <w:sz w:val="20"/>
          <w:szCs w:val="20"/>
        </w:rPr>
        <w:t>Depositum mottatt: kr ............</w:t>
      </w:r>
    </w:p>
    <w:p w14:paraId="7D198D00" w14:textId="77777777" w:rsidR="005B7EE5" w:rsidRDefault="005B7EE5">
      <w:pPr>
        <w:ind w:firstLine="708"/>
        <w:rPr>
          <w:rFonts w:ascii="Arial" w:hAnsi="Arial" w:cs="Arial"/>
          <w:sz w:val="6"/>
          <w:szCs w:val="6"/>
        </w:rPr>
      </w:pPr>
    </w:p>
    <w:p w14:paraId="58433860"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r>
        <w:rPr>
          <w:rFonts w:ascii="Arial" w:hAnsi="Arial" w:cs="Arial"/>
          <w:i/>
        </w:rPr>
        <w:t>Juryens beslutning:</w:t>
      </w:r>
    </w:p>
    <w:p w14:paraId="25D6B2FD"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389D4DE8"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05C28764"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12D0AD18"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46FD9CA0" w14:textId="10E08FC9"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0A6E7C85"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4BABBE5A"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i/>
        </w:rPr>
      </w:pPr>
    </w:p>
    <w:p w14:paraId="16B259D7" w14:textId="5D153381" w:rsidR="005B7EE5" w:rsidRDefault="093C95B1" w:rsidP="261F3763">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r w:rsidRPr="261F3763">
        <w:rPr>
          <w:rFonts w:ascii="Arial" w:hAnsi="Arial" w:cs="Arial"/>
          <w:i/>
          <w:iCs/>
          <w:sz w:val="20"/>
          <w:szCs w:val="20"/>
        </w:rPr>
        <w:t>Underskrift juryleder</w:t>
      </w:r>
      <w:r w:rsidR="202E9672" w:rsidRPr="261F3763">
        <w:rPr>
          <w:rFonts w:ascii="Arial" w:hAnsi="Arial" w:cs="Arial"/>
          <w:i/>
          <w:iCs/>
          <w:sz w:val="20"/>
          <w:szCs w:val="20"/>
        </w:rPr>
        <w:t>:</w:t>
      </w:r>
      <w:r w:rsidR="005B7EE5">
        <w:tab/>
      </w:r>
      <w:r w:rsidR="005B7EE5">
        <w:tab/>
      </w:r>
      <w:r w:rsidRPr="261F3763">
        <w:rPr>
          <w:rFonts w:ascii="Arial" w:hAnsi="Arial" w:cs="Arial"/>
          <w:i/>
          <w:iCs/>
          <w:sz w:val="20"/>
          <w:szCs w:val="20"/>
        </w:rPr>
        <w:t>Underskrift jurymedlem</w:t>
      </w:r>
      <w:r w:rsidR="3987DA5D" w:rsidRPr="261F3763">
        <w:rPr>
          <w:rFonts w:ascii="Arial" w:hAnsi="Arial" w:cs="Arial"/>
          <w:i/>
          <w:iCs/>
          <w:sz w:val="20"/>
          <w:szCs w:val="20"/>
        </w:rPr>
        <w:t>:</w:t>
      </w:r>
      <w:r w:rsidRPr="261F3763">
        <w:rPr>
          <w:rFonts w:ascii="Arial" w:hAnsi="Arial" w:cs="Arial"/>
          <w:i/>
          <w:iCs/>
          <w:sz w:val="20"/>
          <w:szCs w:val="20"/>
        </w:rPr>
        <w:t xml:space="preserve"> </w:t>
      </w:r>
      <w:r w:rsidR="005B7EE5">
        <w:tab/>
      </w:r>
      <w:r w:rsidRPr="261F3763">
        <w:rPr>
          <w:rFonts w:ascii="Arial" w:hAnsi="Arial" w:cs="Arial"/>
          <w:i/>
          <w:iCs/>
          <w:sz w:val="20"/>
          <w:szCs w:val="20"/>
        </w:rPr>
        <w:t>Underskrift jurymedlem:</w:t>
      </w:r>
    </w:p>
    <w:p w14:paraId="532D4A19"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p>
    <w:p w14:paraId="0B807561" w14:textId="77777777" w:rsidR="005B7EE5" w:rsidRDefault="005B7EE5">
      <w:pPr>
        <w:pBdr>
          <w:top w:val="single" w:sz="4" w:space="1" w:color="000000"/>
          <w:left w:val="single" w:sz="4" w:space="4" w:color="000000"/>
          <w:bottom w:val="single" w:sz="4" w:space="1" w:color="000000"/>
          <w:right w:val="single" w:sz="4" w:space="4" w:color="000000"/>
        </w:pBdr>
        <w:spacing w:after="0"/>
        <w:rPr>
          <w:rFonts w:ascii="Arial" w:hAnsi="Arial" w:cs="Arial"/>
          <w:sz w:val="20"/>
          <w:szCs w:val="20"/>
        </w:rPr>
      </w:pPr>
    </w:p>
    <w:p w14:paraId="5A23CAFA" w14:textId="77777777" w:rsidR="005B7EE5" w:rsidRDefault="005B7EE5">
      <w:pPr>
        <w:pBdr>
          <w:top w:val="single" w:sz="4" w:space="1" w:color="000000"/>
          <w:left w:val="single" w:sz="4" w:space="4" w:color="000000"/>
          <w:bottom w:val="single" w:sz="4" w:space="1" w:color="000000"/>
          <w:right w:val="single" w:sz="4" w:space="4" w:color="000000"/>
        </w:pBdr>
        <w:rPr>
          <w:b/>
          <w:sz w:val="24"/>
          <w:szCs w:val="24"/>
        </w:rPr>
      </w:pPr>
      <w:r>
        <w:rPr>
          <w:rFonts w:ascii="Arial" w:hAnsi="Arial" w:cs="Arial"/>
          <w:i/>
          <w:sz w:val="16"/>
          <w:szCs w:val="16"/>
        </w:rPr>
        <w:t>(Hvis for liten plass, bruk baksiden av arket eller eget ark)</w:t>
      </w:r>
    </w:p>
    <w:p w14:paraId="2A2EB043" w14:textId="77777777" w:rsidR="005B7EE5" w:rsidRDefault="005B7EE5">
      <w:pPr>
        <w:spacing w:after="0"/>
        <w:rPr>
          <w:sz w:val="20"/>
          <w:szCs w:val="20"/>
        </w:rPr>
      </w:pPr>
      <w:r>
        <w:rPr>
          <w:b/>
          <w:sz w:val="24"/>
          <w:szCs w:val="24"/>
        </w:rPr>
        <w:lastRenderedPageBreak/>
        <w:t>Utvalgte punkter fra regelverket i forbindelse med JURY</w:t>
      </w:r>
      <w:r>
        <w:rPr>
          <w:sz w:val="20"/>
          <w:szCs w:val="20"/>
        </w:rPr>
        <w:t>. (Uthevninger gjort av oss)</w:t>
      </w:r>
    </w:p>
    <w:p w14:paraId="5C2CD334" w14:textId="77777777" w:rsidR="005B7EE5" w:rsidRPr="008739CF" w:rsidRDefault="005B7EE5">
      <w:pPr>
        <w:spacing w:after="0"/>
        <w:rPr>
          <w:b/>
          <w:bCs/>
          <w:sz w:val="20"/>
          <w:szCs w:val="20"/>
        </w:rPr>
      </w:pPr>
    </w:p>
    <w:p w14:paraId="3EAF5C10" w14:textId="59068EC7" w:rsidR="005B7EE5" w:rsidRDefault="005B7EE5">
      <w:pPr>
        <w:spacing w:after="0"/>
        <w:rPr>
          <w:sz w:val="20"/>
          <w:szCs w:val="20"/>
        </w:rPr>
      </w:pPr>
      <w:r w:rsidRPr="008739CF">
        <w:rPr>
          <w:b/>
          <w:bCs/>
          <w:sz w:val="20"/>
          <w:szCs w:val="20"/>
        </w:rPr>
        <w:t xml:space="preserve">Regel </w:t>
      </w:r>
      <w:r w:rsidR="008739CF" w:rsidRPr="008739CF">
        <w:rPr>
          <w:b/>
          <w:bCs/>
          <w:sz w:val="20"/>
          <w:szCs w:val="20"/>
        </w:rPr>
        <w:t>CR 12</w:t>
      </w:r>
      <w:r w:rsidRPr="008739CF">
        <w:rPr>
          <w:b/>
          <w:bCs/>
          <w:sz w:val="20"/>
          <w:szCs w:val="20"/>
        </w:rPr>
        <w:t>: Jury</w:t>
      </w:r>
    </w:p>
    <w:p w14:paraId="686BBA69" w14:textId="77777777" w:rsidR="005B7EE5" w:rsidRDefault="005B7EE5">
      <w:pPr>
        <w:spacing w:after="0"/>
        <w:rPr>
          <w:sz w:val="20"/>
          <w:szCs w:val="20"/>
        </w:rPr>
      </w:pPr>
      <w:r>
        <w:rPr>
          <w:sz w:val="20"/>
          <w:szCs w:val="20"/>
        </w:rPr>
        <w:t>En jury skal normalt bestå av 3, 5 eller 7 medlemmer. Et av medlemmene skal være leder og et annet sekretær. Dersom det anses hensiktsmessig, kan sekretæren være en person som ikke er medlem av juryen. Det skal oppnevnes jury når stevnearrangøren finner det ønskelig eller nødvendig for korrekt gjennomføring av konkurransene.</w:t>
      </w:r>
    </w:p>
    <w:p w14:paraId="07DB3DDE" w14:textId="4233AFD6" w:rsidR="005B7EE5" w:rsidRDefault="005B7EE5">
      <w:pPr>
        <w:spacing w:after="0"/>
        <w:rPr>
          <w:sz w:val="20"/>
          <w:szCs w:val="20"/>
        </w:rPr>
      </w:pPr>
      <w:r>
        <w:rPr>
          <w:sz w:val="20"/>
          <w:szCs w:val="20"/>
        </w:rPr>
        <w:t xml:space="preserve">I tilfelle der en </w:t>
      </w:r>
      <w:r w:rsidR="00035CA2">
        <w:rPr>
          <w:sz w:val="20"/>
          <w:szCs w:val="20"/>
        </w:rPr>
        <w:t>Anke</w:t>
      </w:r>
      <w:r>
        <w:rPr>
          <w:sz w:val="20"/>
          <w:szCs w:val="20"/>
        </w:rPr>
        <w:t xml:space="preserve"> er relatert til regel </w:t>
      </w:r>
      <w:r w:rsidR="008739CF">
        <w:rPr>
          <w:sz w:val="20"/>
          <w:szCs w:val="20"/>
        </w:rPr>
        <w:t>TR 54</w:t>
      </w:r>
      <w:r>
        <w:rPr>
          <w:sz w:val="20"/>
          <w:szCs w:val="20"/>
        </w:rPr>
        <w:t xml:space="preserve">, skal minst en av juryens medlemmer være autorisert </w:t>
      </w:r>
      <w:proofErr w:type="spellStart"/>
      <w:r>
        <w:rPr>
          <w:sz w:val="20"/>
          <w:szCs w:val="20"/>
        </w:rPr>
        <w:t>kappgangdommer</w:t>
      </w:r>
      <w:proofErr w:type="spellEnd"/>
      <w:r>
        <w:rPr>
          <w:sz w:val="20"/>
          <w:szCs w:val="20"/>
        </w:rPr>
        <w:t>.</w:t>
      </w:r>
    </w:p>
    <w:p w14:paraId="00E11A76" w14:textId="641EC84C" w:rsidR="005B7EE5" w:rsidRDefault="005B7EE5">
      <w:pPr>
        <w:spacing w:after="0"/>
        <w:rPr>
          <w:b/>
          <w:sz w:val="20"/>
          <w:szCs w:val="20"/>
        </w:rPr>
      </w:pPr>
      <w:r>
        <w:rPr>
          <w:sz w:val="20"/>
          <w:szCs w:val="20"/>
        </w:rPr>
        <w:t xml:space="preserve">Et medlem av juryen bør ikke delta i juryens forhandlinger dersom vedkommende eller </w:t>
      </w:r>
      <w:r w:rsidR="008739CF">
        <w:rPr>
          <w:sz w:val="20"/>
          <w:szCs w:val="20"/>
        </w:rPr>
        <w:t>dens</w:t>
      </w:r>
      <w:r>
        <w:rPr>
          <w:sz w:val="20"/>
          <w:szCs w:val="20"/>
        </w:rPr>
        <w:t xml:space="preserve"> klubb er part i saken. Det er juryens oppgave å be et jurymedlem trekke seg fra forhandlinger i slike tilfelle</w:t>
      </w:r>
      <w:r w:rsidR="008739CF">
        <w:rPr>
          <w:sz w:val="20"/>
          <w:szCs w:val="20"/>
        </w:rPr>
        <w:t>r</w:t>
      </w:r>
      <w:r>
        <w:rPr>
          <w:sz w:val="20"/>
          <w:szCs w:val="20"/>
        </w:rPr>
        <w:t xml:space="preserve">, </w:t>
      </w:r>
      <w:r w:rsidR="008739CF">
        <w:rPr>
          <w:sz w:val="20"/>
          <w:szCs w:val="20"/>
        </w:rPr>
        <w:t>om en</w:t>
      </w:r>
      <w:r>
        <w:rPr>
          <w:sz w:val="20"/>
          <w:szCs w:val="20"/>
        </w:rPr>
        <w:t xml:space="preserve"> konflikt oppstår og </w:t>
      </w:r>
      <w:r w:rsidR="008739CF">
        <w:rPr>
          <w:sz w:val="20"/>
          <w:szCs w:val="20"/>
        </w:rPr>
        <w:t>e</w:t>
      </w:r>
      <w:r>
        <w:rPr>
          <w:sz w:val="20"/>
          <w:szCs w:val="20"/>
        </w:rPr>
        <w:t>n finner dette nødvendig.</w:t>
      </w:r>
    </w:p>
    <w:p w14:paraId="56C0C5CE" w14:textId="5D5E6D8F" w:rsidR="005B7EE5" w:rsidRDefault="005B7EE5">
      <w:pPr>
        <w:spacing w:after="0"/>
        <w:rPr>
          <w:sz w:val="20"/>
          <w:szCs w:val="20"/>
        </w:rPr>
      </w:pPr>
      <w:r>
        <w:rPr>
          <w:b/>
          <w:sz w:val="20"/>
          <w:szCs w:val="20"/>
        </w:rPr>
        <w:t xml:space="preserve">Juryens primære oppgave er å behandle alle </w:t>
      </w:r>
      <w:r w:rsidR="008739CF">
        <w:rPr>
          <w:b/>
          <w:sz w:val="20"/>
          <w:szCs w:val="20"/>
        </w:rPr>
        <w:t>Anker</w:t>
      </w:r>
      <w:r>
        <w:rPr>
          <w:b/>
          <w:sz w:val="20"/>
          <w:szCs w:val="20"/>
        </w:rPr>
        <w:t xml:space="preserve"> som den får til behandling iht. til regel </w:t>
      </w:r>
      <w:r w:rsidR="008739CF">
        <w:rPr>
          <w:b/>
          <w:sz w:val="20"/>
          <w:szCs w:val="20"/>
        </w:rPr>
        <w:t>CR 12</w:t>
      </w:r>
      <w:r>
        <w:rPr>
          <w:b/>
          <w:sz w:val="20"/>
          <w:szCs w:val="20"/>
        </w:rPr>
        <w:t xml:space="preserve"> og eventuelle andre spørsmål som måtte oppstå under konkurransen og som den får til avgjørelse. </w:t>
      </w:r>
      <w:r>
        <w:rPr>
          <w:sz w:val="20"/>
          <w:szCs w:val="20"/>
        </w:rPr>
        <w:t xml:space="preserve">Juryens avgjørelse er endelig, men juryen kan ta en </w:t>
      </w:r>
      <w:r w:rsidR="00035CA2">
        <w:rPr>
          <w:sz w:val="20"/>
          <w:szCs w:val="20"/>
        </w:rPr>
        <w:t>Anke</w:t>
      </w:r>
      <w:r>
        <w:rPr>
          <w:sz w:val="20"/>
          <w:szCs w:val="20"/>
        </w:rPr>
        <w:t xml:space="preserve"> opp til ny behandling dersom den blir forelagt nytt materiale og en ny avgjørelse fremdeles vil ha relevans.</w:t>
      </w:r>
    </w:p>
    <w:p w14:paraId="3C715EBB" w14:textId="77777777" w:rsidR="005B7EE5" w:rsidRDefault="005B7EE5">
      <w:pPr>
        <w:spacing w:after="0"/>
        <w:rPr>
          <w:sz w:val="20"/>
          <w:szCs w:val="20"/>
        </w:rPr>
      </w:pPr>
      <w:r>
        <w:rPr>
          <w:sz w:val="20"/>
          <w:szCs w:val="20"/>
        </w:rPr>
        <w:t>Avgjørelser som inneholder tvilstilfeller som ikke er dekket av reglene, skal av juryens formann omgående innberettes til Norges Friidrettsforbund.</w:t>
      </w:r>
    </w:p>
    <w:p w14:paraId="644C0AA4" w14:textId="77777777" w:rsidR="005B7EE5" w:rsidRDefault="005B7EE5">
      <w:pPr>
        <w:spacing w:after="0"/>
        <w:rPr>
          <w:sz w:val="20"/>
          <w:szCs w:val="20"/>
        </w:rPr>
      </w:pPr>
    </w:p>
    <w:p w14:paraId="54412632" w14:textId="77777777" w:rsidR="005B7EE5" w:rsidRDefault="005B7EE5">
      <w:pPr>
        <w:spacing w:after="0"/>
        <w:rPr>
          <w:sz w:val="20"/>
          <w:szCs w:val="20"/>
        </w:rPr>
      </w:pPr>
      <w:r>
        <w:rPr>
          <w:sz w:val="20"/>
          <w:szCs w:val="20"/>
        </w:rPr>
        <w:t xml:space="preserve">Kommentar: Det anbefales at det oppnevnes jury ved alle større stevner. </w:t>
      </w:r>
      <w:r>
        <w:rPr>
          <w:b/>
          <w:sz w:val="20"/>
          <w:szCs w:val="20"/>
        </w:rPr>
        <w:t>Som jurymedlemmer bør oppnevnes erfarne forbundsdommere som ikke skal ha annen funksjon under stevnet</w:t>
      </w:r>
      <w:r>
        <w:rPr>
          <w:sz w:val="20"/>
          <w:szCs w:val="20"/>
        </w:rPr>
        <w:t>.</w:t>
      </w:r>
    </w:p>
    <w:p w14:paraId="6263263A" w14:textId="77777777" w:rsidR="005B7EE5" w:rsidRDefault="005B7EE5">
      <w:pPr>
        <w:spacing w:after="0"/>
        <w:rPr>
          <w:sz w:val="20"/>
          <w:szCs w:val="20"/>
        </w:rPr>
      </w:pPr>
    </w:p>
    <w:p w14:paraId="10BE65A6" w14:textId="77777777" w:rsidR="005B7EE5" w:rsidRDefault="005B7EE5">
      <w:pPr>
        <w:spacing w:after="0"/>
        <w:rPr>
          <w:sz w:val="20"/>
          <w:szCs w:val="20"/>
        </w:rPr>
      </w:pPr>
    </w:p>
    <w:p w14:paraId="734E5E54" w14:textId="7E65ADF4" w:rsidR="005B7EE5" w:rsidRDefault="005B7EE5">
      <w:pPr>
        <w:spacing w:after="0"/>
        <w:rPr>
          <w:b/>
          <w:sz w:val="20"/>
          <w:szCs w:val="20"/>
        </w:rPr>
      </w:pPr>
      <w:r w:rsidRPr="008739CF">
        <w:rPr>
          <w:b/>
          <w:bCs/>
          <w:sz w:val="20"/>
          <w:szCs w:val="20"/>
        </w:rPr>
        <w:t xml:space="preserve">Regel </w:t>
      </w:r>
      <w:r w:rsidR="008739CF" w:rsidRPr="008739CF">
        <w:rPr>
          <w:b/>
          <w:bCs/>
          <w:sz w:val="20"/>
          <w:szCs w:val="20"/>
        </w:rPr>
        <w:t>TR 8</w:t>
      </w:r>
      <w:r w:rsidRPr="008739CF">
        <w:rPr>
          <w:b/>
          <w:bCs/>
          <w:sz w:val="20"/>
          <w:szCs w:val="20"/>
        </w:rPr>
        <w:t xml:space="preserve">: </w:t>
      </w:r>
      <w:r w:rsidR="008739CF" w:rsidRPr="008739CF">
        <w:rPr>
          <w:b/>
          <w:bCs/>
          <w:sz w:val="20"/>
          <w:szCs w:val="20"/>
        </w:rPr>
        <w:t>Anker</w:t>
      </w:r>
      <w:r w:rsidRPr="008739CF">
        <w:rPr>
          <w:b/>
          <w:bCs/>
          <w:sz w:val="20"/>
          <w:szCs w:val="20"/>
        </w:rPr>
        <w:t xml:space="preserve"> og appeller</w:t>
      </w:r>
      <w:r>
        <w:rPr>
          <w:sz w:val="20"/>
          <w:szCs w:val="20"/>
        </w:rPr>
        <w:t xml:space="preserve"> (Noen av de viktigste punkter).</w:t>
      </w:r>
    </w:p>
    <w:p w14:paraId="2085B23B" w14:textId="0BD126A1" w:rsidR="005B7EE5" w:rsidRDefault="005B7EE5">
      <w:pPr>
        <w:spacing w:after="0"/>
        <w:rPr>
          <w:b/>
          <w:sz w:val="20"/>
          <w:szCs w:val="20"/>
        </w:rPr>
      </w:pPr>
      <w:r>
        <w:rPr>
          <w:b/>
          <w:sz w:val="20"/>
          <w:szCs w:val="20"/>
        </w:rPr>
        <w:t>2</w:t>
      </w:r>
      <w:r>
        <w:rPr>
          <w:sz w:val="20"/>
          <w:szCs w:val="20"/>
        </w:rPr>
        <w:t xml:space="preserve">   </w:t>
      </w:r>
      <w:r w:rsidR="008739CF">
        <w:rPr>
          <w:sz w:val="20"/>
          <w:szCs w:val="20"/>
        </w:rPr>
        <w:t>Anker</w:t>
      </w:r>
      <w:r>
        <w:rPr>
          <w:sz w:val="20"/>
          <w:szCs w:val="20"/>
        </w:rPr>
        <w:t xml:space="preserve"> som knytter seg til resultatet eller gjennomføringen av en øvelse, skal skje</w:t>
      </w:r>
      <w:r>
        <w:rPr>
          <w:b/>
          <w:sz w:val="20"/>
          <w:szCs w:val="20"/>
        </w:rPr>
        <w:t xml:space="preserve"> innen 30 min. etter den offisielle kunngjøringen av resultatene for vedkommende øvelse.</w:t>
      </w:r>
    </w:p>
    <w:p w14:paraId="441342B2" w14:textId="206CCA87" w:rsidR="005B7EE5" w:rsidRDefault="005B7EE5">
      <w:pPr>
        <w:spacing w:after="0"/>
        <w:rPr>
          <w:b/>
          <w:sz w:val="20"/>
          <w:szCs w:val="20"/>
        </w:rPr>
      </w:pPr>
      <w:r>
        <w:rPr>
          <w:b/>
          <w:sz w:val="20"/>
          <w:szCs w:val="20"/>
        </w:rPr>
        <w:t>3</w:t>
      </w:r>
      <w:r>
        <w:rPr>
          <w:sz w:val="20"/>
          <w:szCs w:val="20"/>
        </w:rPr>
        <w:t xml:space="preserve">   En </w:t>
      </w:r>
      <w:r w:rsidR="00035CA2">
        <w:rPr>
          <w:sz w:val="20"/>
          <w:szCs w:val="20"/>
        </w:rPr>
        <w:t>Anke</w:t>
      </w:r>
      <w:r>
        <w:rPr>
          <w:sz w:val="20"/>
          <w:szCs w:val="20"/>
        </w:rPr>
        <w:t xml:space="preserve"> skal </w:t>
      </w:r>
      <w:r>
        <w:rPr>
          <w:b/>
          <w:sz w:val="20"/>
          <w:szCs w:val="20"/>
        </w:rPr>
        <w:t>først fremmes muntlig</w:t>
      </w:r>
      <w:r>
        <w:rPr>
          <w:sz w:val="20"/>
          <w:szCs w:val="20"/>
        </w:rPr>
        <w:t xml:space="preserve"> overfor overdommeren, enten </w:t>
      </w:r>
      <w:r>
        <w:rPr>
          <w:b/>
          <w:sz w:val="20"/>
          <w:szCs w:val="20"/>
        </w:rPr>
        <w:t>av utøveren selv eller av en som handler på utøverens vegne.</w:t>
      </w:r>
      <w:r>
        <w:rPr>
          <w:sz w:val="20"/>
          <w:szCs w:val="20"/>
        </w:rPr>
        <w:t xml:space="preserve"> </w:t>
      </w:r>
      <w:r w:rsidR="00035CA2">
        <w:rPr>
          <w:sz w:val="20"/>
          <w:szCs w:val="20"/>
        </w:rPr>
        <w:t>Anken</w:t>
      </w:r>
      <w:r>
        <w:rPr>
          <w:sz w:val="20"/>
          <w:szCs w:val="20"/>
        </w:rPr>
        <w:t xml:space="preserve"> kan bare leveres av eller på vegne av en utøver som konkurrerer i samme runde i en øvelse som </w:t>
      </w:r>
      <w:r w:rsidR="00035CA2">
        <w:rPr>
          <w:sz w:val="20"/>
          <w:szCs w:val="20"/>
        </w:rPr>
        <w:t>Anken</w:t>
      </w:r>
      <w:r>
        <w:rPr>
          <w:sz w:val="20"/>
          <w:szCs w:val="20"/>
        </w:rPr>
        <w:t xml:space="preserve"> relaterer seg til</w:t>
      </w:r>
      <w:r w:rsidR="008739CF">
        <w:rPr>
          <w:sz w:val="20"/>
          <w:szCs w:val="20"/>
        </w:rPr>
        <w:t xml:space="preserve">. </w:t>
      </w:r>
      <w:r>
        <w:rPr>
          <w:sz w:val="20"/>
          <w:szCs w:val="20"/>
        </w:rPr>
        <w:t xml:space="preserve">For å kunne treffe en riktig avgjørelse, bør overdommeren vurdere alle relevante tilgjengelige opplysninger </w:t>
      </w:r>
      <w:r w:rsidR="008739CF">
        <w:rPr>
          <w:sz w:val="20"/>
          <w:szCs w:val="20"/>
        </w:rPr>
        <w:t>e</w:t>
      </w:r>
      <w:r>
        <w:rPr>
          <w:sz w:val="20"/>
          <w:szCs w:val="20"/>
        </w:rPr>
        <w:t xml:space="preserve">n finner nødvendig, som for eksempel en film eller et </w:t>
      </w:r>
      <w:r>
        <w:rPr>
          <w:b/>
          <w:sz w:val="20"/>
          <w:szCs w:val="20"/>
        </w:rPr>
        <w:t>bilde fra en film eller videopptak</w:t>
      </w:r>
      <w:r>
        <w:rPr>
          <w:sz w:val="20"/>
          <w:szCs w:val="20"/>
        </w:rPr>
        <w:t xml:space="preserve">.  Overdommeren kan selv treffe </w:t>
      </w:r>
      <w:r w:rsidR="008739CF">
        <w:rPr>
          <w:sz w:val="20"/>
          <w:szCs w:val="20"/>
        </w:rPr>
        <w:t xml:space="preserve">en </w:t>
      </w:r>
      <w:r>
        <w:rPr>
          <w:sz w:val="20"/>
          <w:szCs w:val="20"/>
        </w:rPr>
        <w:t xml:space="preserve">avgjørelse eller </w:t>
      </w:r>
      <w:r w:rsidR="008739CF">
        <w:rPr>
          <w:sz w:val="20"/>
          <w:szCs w:val="20"/>
        </w:rPr>
        <w:t>la</w:t>
      </w:r>
      <w:r>
        <w:rPr>
          <w:sz w:val="20"/>
          <w:szCs w:val="20"/>
        </w:rPr>
        <w:t xml:space="preserve"> juryen</w:t>
      </w:r>
      <w:r w:rsidR="008739CF">
        <w:rPr>
          <w:sz w:val="20"/>
          <w:szCs w:val="20"/>
        </w:rPr>
        <w:t xml:space="preserve"> overta denne</w:t>
      </w:r>
      <w:r>
        <w:rPr>
          <w:sz w:val="20"/>
          <w:szCs w:val="20"/>
        </w:rPr>
        <w:t>. Hvis overdommeren tar avgjørelsen, kan saken ankes til juryen</w:t>
      </w:r>
      <w:r w:rsidR="008739CF">
        <w:rPr>
          <w:sz w:val="20"/>
          <w:szCs w:val="20"/>
        </w:rPr>
        <w:t>.</w:t>
      </w:r>
    </w:p>
    <w:p w14:paraId="31F28886" w14:textId="77777777" w:rsidR="005B7EE5" w:rsidRDefault="005B7EE5">
      <w:pPr>
        <w:spacing w:after="0"/>
        <w:rPr>
          <w:sz w:val="20"/>
          <w:szCs w:val="20"/>
        </w:rPr>
      </w:pPr>
      <w:r>
        <w:rPr>
          <w:b/>
          <w:sz w:val="20"/>
          <w:szCs w:val="20"/>
        </w:rPr>
        <w:t xml:space="preserve">6   </w:t>
      </w:r>
      <w:r>
        <w:rPr>
          <w:sz w:val="20"/>
          <w:szCs w:val="20"/>
        </w:rPr>
        <w:t xml:space="preserve">En anke til juryen må levers innen 30 minutter etter at overdommers avgjørelse har blitt gjort kjent og må skje </w:t>
      </w:r>
      <w:r>
        <w:rPr>
          <w:b/>
          <w:sz w:val="20"/>
          <w:szCs w:val="20"/>
        </w:rPr>
        <w:t xml:space="preserve">skriftlig og være undertegnet </w:t>
      </w:r>
      <w:r>
        <w:rPr>
          <w:sz w:val="20"/>
          <w:szCs w:val="20"/>
        </w:rPr>
        <w:t xml:space="preserve">av utøveren eller en ansvarlig lagleder på vegne av utøveren. </w:t>
      </w:r>
    </w:p>
    <w:p w14:paraId="406C38B3" w14:textId="3CE5E2D0" w:rsidR="005B7EE5" w:rsidRDefault="005B7EE5">
      <w:pPr>
        <w:spacing w:after="0"/>
        <w:rPr>
          <w:sz w:val="20"/>
          <w:szCs w:val="20"/>
        </w:rPr>
      </w:pPr>
      <w:r>
        <w:rPr>
          <w:sz w:val="20"/>
          <w:szCs w:val="20"/>
        </w:rPr>
        <w:t xml:space="preserve">Et </w:t>
      </w:r>
      <w:r w:rsidR="008739CF">
        <w:rPr>
          <w:b/>
          <w:sz w:val="20"/>
          <w:szCs w:val="20"/>
        </w:rPr>
        <w:t>depositum</w:t>
      </w:r>
      <w:r>
        <w:rPr>
          <w:b/>
          <w:sz w:val="20"/>
          <w:szCs w:val="20"/>
        </w:rPr>
        <w:t xml:space="preserve"> </w:t>
      </w:r>
      <w:r>
        <w:rPr>
          <w:sz w:val="20"/>
          <w:szCs w:val="20"/>
        </w:rPr>
        <w:t xml:space="preserve">på USD (eller tilsvarende beløp i annen valuta) må vedlegges før </w:t>
      </w:r>
      <w:r w:rsidR="00035CA2">
        <w:rPr>
          <w:sz w:val="20"/>
          <w:szCs w:val="20"/>
        </w:rPr>
        <w:t>Anken</w:t>
      </w:r>
      <w:r>
        <w:rPr>
          <w:sz w:val="20"/>
          <w:szCs w:val="20"/>
        </w:rPr>
        <w:t xml:space="preserve"> blir tatt under behandling. Det deponerte beløpet betales ikke tilbake </w:t>
      </w:r>
      <w:r w:rsidR="008739CF">
        <w:rPr>
          <w:sz w:val="20"/>
          <w:szCs w:val="20"/>
        </w:rPr>
        <w:t>dersom</w:t>
      </w:r>
      <w:r>
        <w:rPr>
          <w:sz w:val="20"/>
          <w:szCs w:val="20"/>
        </w:rPr>
        <w:t xml:space="preserve"> </w:t>
      </w:r>
      <w:r w:rsidR="00035CA2">
        <w:rPr>
          <w:sz w:val="20"/>
          <w:szCs w:val="20"/>
        </w:rPr>
        <w:t>Anken</w:t>
      </w:r>
      <w:r>
        <w:rPr>
          <w:sz w:val="20"/>
          <w:szCs w:val="20"/>
        </w:rPr>
        <w:t xml:space="preserve"> ikke blir tatt til følge</w:t>
      </w:r>
      <w:r w:rsidR="008739CF">
        <w:rPr>
          <w:sz w:val="20"/>
          <w:szCs w:val="20"/>
        </w:rPr>
        <w:t>.</w:t>
      </w:r>
    </w:p>
    <w:p w14:paraId="12C7F177" w14:textId="59C56F52" w:rsidR="005B7EE5" w:rsidRDefault="005B7EE5">
      <w:pPr>
        <w:spacing w:after="0"/>
        <w:rPr>
          <w:b/>
          <w:sz w:val="20"/>
          <w:szCs w:val="20"/>
        </w:rPr>
      </w:pPr>
      <w:r>
        <w:rPr>
          <w:sz w:val="20"/>
          <w:szCs w:val="20"/>
        </w:rPr>
        <w:t>Kommentar: I nasjonale stevner og kretsstevner skal depositum vær</w:t>
      </w:r>
      <w:r>
        <w:rPr>
          <w:b/>
          <w:sz w:val="20"/>
          <w:szCs w:val="20"/>
        </w:rPr>
        <w:t>e kr 100,</w:t>
      </w:r>
      <w:r w:rsidR="008739CF">
        <w:rPr>
          <w:b/>
          <w:sz w:val="20"/>
          <w:szCs w:val="20"/>
        </w:rPr>
        <w:t>-.</w:t>
      </w:r>
      <w:r>
        <w:rPr>
          <w:b/>
          <w:sz w:val="20"/>
          <w:szCs w:val="20"/>
        </w:rPr>
        <w:t xml:space="preserve"> </w:t>
      </w:r>
      <w:r>
        <w:rPr>
          <w:sz w:val="20"/>
          <w:szCs w:val="20"/>
        </w:rPr>
        <w:t xml:space="preserve">I norske mesterskap, inkludert ungdomsmesterskap, skal depositum være </w:t>
      </w:r>
      <w:r>
        <w:rPr>
          <w:b/>
          <w:sz w:val="20"/>
          <w:szCs w:val="20"/>
        </w:rPr>
        <w:t>kr 250,-.</w:t>
      </w:r>
    </w:p>
    <w:p w14:paraId="1B870BD1" w14:textId="7543FD1A" w:rsidR="005B7EE5" w:rsidRDefault="005B7EE5">
      <w:pPr>
        <w:spacing w:after="0"/>
        <w:rPr>
          <w:b/>
          <w:sz w:val="20"/>
          <w:szCs w:val="20"/>
        </w:rPr>
      </w:pPr>
      <w:r>
        <w:rPr>
          <w:b/>
          <w:sz w:val="20"/>
          <w:szCs w:val="20"/>
        </w:rPr>
        <w:t>7</w:t>
      </w:r>
      <w:r>
        <w:rPr>
          <w:sz w:val="20"/>
          <w:szCs w:val="20"/>
        </w:rPr>
        <w:t xml:space="preserve">   </w:t>
      </w:r>
      <w:r>
        <w:rPr>
          <w:b/>
          <w:sz w:val="20"/>
          <w:szCs w:val="20"/>
        </w:rPr>
        <w:t>Juryen skal rådføre seg</w:t>
      </w:r>
      <w:r>
        <w:rPr>
          <w:sz w:val="20"/>
          <w:szCs w:val="20"/>
        </w:rPr>
        <w:t xml:space="preserve"> med alle relevante personer. Dersom juryen er i tvil, skal annet tilgjengelig bevismateriale vurderes. </w:t>
      </w:r>
      <w:r w:rsidR="008739CF">
        <w:rPr>
          <w:sz w:val="20"/>
          <w:szCs w:val="20"/>
        </w:rPr>
        <w:t>Dersom</w:t>
      </w:r>
      <w:r>
        <w:rPr>
          <w:sz w:val="20"/>
          <w:szCs w:val="20"/>
        </w:rPr>
        <w:t xml:space="preserve"> juryens vurderinger av dette materiale, inkludert tilgjengelig videomateriale, ikke klarlegger situasjonen, skal overdommers avgjørelse opprettholdes.</w:t>
      </w:r>
    </w:p>
    <w:p w14:paraId="26DD2380" w14:textId="77777777" w:rsidR="005B7EE5" w:rsidRDefault="005B7EE5">
      <w:pPr>
        <w:spacing w:after="0"/>
        <w:rPr>
          <w:b/>
          <w:sz w:val="20"/>
          <w:szCs w:val="20"/>
        </w:rPr>
      </w:pPr>
      <w:r>
        <w:rPr>
          <w:b/>
          <w:sz w:val="20"/>
          <w:szCs w:val="20"/>
        </w:rPr>
        <w:t xml:space="preserve">8   </w:t>
      </w:r>
      <w:r>
        <w:rPr>
          <w:sz w:val="20"/>
          <w:szCs w:val="20"/>
        </w:rPr>
        <w:t xml:space="preserve">En jury kan gjenåpne en sak </w:t>
      </w:r>
      <w:r>
        <w:rPr>
          <w:b/>
          <w:sz w:val="20"/>
          <w:szCs w:val="20"/>
        </w:rPr>
        <w:t>dersom nye relevante opplysninger eller materiale</w:t>
      </w:r>
      <w:r>
        <w:rPr>
          <w:sz w:val="20"/>
          <w:szCs w:val="20"/>
        </w:rPr>
        <w:t xml:space="preserve"> foreligger i saken og at en ny beslutning fremdeles vil være til noen nytte.</w:t>
      </w:r>
    </w:p>
    <w:p w14:paraId="0CA79F6C" w14:textId="77777777" w:rsidR="005B7EE5" w:rsidRDefault="005B7EE5">
      <w:pPr>
        <w:spacing w:after="0"/>
        <w:rPr>
          <w:b/>
          <w:sz w:val="20"/>
          <w:szCs w:val="20"/>
        </w:rPr>
      </w:pPr>
      <w:r>
        <w:rPr>
          <w:b/>
          <w:sz w:val="20"/>
          <w:szCs w:val="20"/>
        </w:rPr>
        <w:t xml:space="preserve">9   </w:t>
      </w:r>
      <w:r>
        <w:rPr>
          <w:sz w:val="20"/>
          <w:szCs w:val="20"/>
        </w:rPr>
        <w:t>Beslutninger på punkter som ikke dekkes av reglene skal av juryens leder meldes til forbundet.</w:t>
      </w:r>
    </w:p>
    <w:p w14:paraId="159BB55F" w14:textId="024FD3BB" w:rsidR="005B7EE5" w:rsidRDefault="005B7EE5">
      <w:pPr>
        <w:spacing w:after="0"/>
        <w:rPr>
          <w:sz w:val="20"/>
          <w:szCs w:val="20"/>
        </w:rPr>
      </w:pPr>
      <w:r>
        <w:rPr>
          <w:b/>
          <w:sz w:val="20"/>
          <w:szCs w:val="20"/>
        </w:rPr>
        <w:t>10</w:t>
      </w:r>
      <w:r>
        <w:rPr>
          <w:sz w:val="20"/>
          <w:szCs w:val="20"/>
        </w:rPr>
        <w:t xml:space="preserve"> Juryens avgjørelse (og i fravær av oppnevnt jury, overdommers avgjørelse) skal være </w:t>
      </w:r>
      <w:r>
        <w:rPr>
          <w:b/>
          <w:sz w:val="20"/>
          <w:szCs w:val="20"/>
        </w:rPr>
        <w:t>endeli</w:t>
      </w:r>
      <w:r w:rsidR="008739CF">
        <w:rPr>
          <w:b/>
          <w:sz w:val="20"/>
          <w:szCs w:val="20"/>
        </w:rPr>
        <w:t>g.</w:t>
      </w:r>
    </w:p>
    <w:p w14:paraId="1189CDC3" w14:textId="77777777" w:rsidR="005B7EE5" w:rsidRDefault="005B7EE5">
      <w:pPr>
        <w:pBdr>
          <w:bottom w:val="single" w:sz="4" w:space="1" w:color="000000"/>
        </w:pBdr>
        <w:spacing w:after="0"/>
        <w:rPr>
          <w:sz w:val="20"/>
          <w:szCs w:val="20"/>
        </w:rPr>
      </w:pPr>
    </w:p>
    <w:p w14:paraId="6EA779EB" w14:textId="0900B0D2" w:rsidR="005B7EE5" w:rsidRDefault="008739CF">
      <w:pPr>
        <w:spacing w:after="0"/>
      </w:pPr>
      <w:r w:rsidRPr="60D4F1AC">
        <w:rPr>
          <w:sz w:val="16"/>
          <w:szCs w:val="16"/>
        </w:rPr>
        <w:t>31.01.2023</w:t>
      </w:r>
    </w:p>
    <w:p w14:paraId="29FD2289" w14:textId="77777777" w:rsidR="005B7EE5" w:rsidRDefault="005B7EE5">
      <w:pPr>
        <w:spacing w:after="0"/>
      </w:pPr>
    </w:p>
    <w:p w14:paraId="6F22A67A" w14:textId="77777777" w:rsidR="005B7EE5" w:rsidRDefault="005B7EE5">
      <w:pPr>
        <w:spacing w:after="0"/>
        <w:rPr>
          <w:rFonts w:ascii="Arial" w:hAnsi="Arial" w:cs="Arial"/>
          <w:sz w:val="20"/>
          <w:szCs w:val="20"/>
        </w:rPr>
      </w:pPr>
    </w:p>
    <w:p w14:paraId="1F5985D1" w14:textId="77777777" w:rsidR="005B7EE5" w:rsidRDefault="005B7EE5">
      <w:pPr>
        <w:spacing w:after="0"/>
        <w:rPr>
          <w:rFonts w:ascii="Arial" w:hAnsi="Arial" w:cs="Arial"/>
          <w:sz w:val="20"/>
          <w:szCs w:val="20"/>
        </w:rPr>
      </w:pPr>
    </w:p>
    <w:p w14:paraId="486F6131" w14:textId="77777777" w:rsidR="005B7EE5" w:rsidRDefault="005B7EE5"/>
    <w:sectPr w:rsidR="005B7EE5">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E49F" w14:textId="77777777" w:rsidR="00B86B66" w:rsidRDefault="00B86B66" w:rsidP="00B86B66">
      <w:pPr>
        <w:spacing w:after="0" w:line="240" w:lineRule="auto"/>
      </w:pPr>
      <w:r>
        <w:separator/>
      </w:r>
    </w:p>
  </w:endnote>
  <w:endnote w:type="continuationSeparator" w:id="0">
    <w:p w14:paraId="28A4BC3D" w14:textId="77777777" w:rsidR="00B86B66" w:rsidRDefault="00B86B66" w:rsidP="00B86B66">
      <w:pPr>
        <w:spacing w:after="0" w:line="240" w:lineRule="auto"/>
      </w:pPr>
      <w:r>
        <w:continuationSeparator/>
      </w:r>
    </w:p>
  </w:endnote>
  <w:endnote w:type="continuationNotice" w:id="1">
    <w:p w14:paraId="405880AD" w14:textId="77777777" w:rsidR="00BC20D8" w:rsidRDefault="00BC2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0184" w14:textId="77777777" w:rsidR="00B86B66" w:rsidRDefault="00B86B66" w:rsidP="00B86B66">
      <w:pPr>
        <w:spacing w:after="0" w:line="240" w:lineRule="auto"/>
      </w:pPr>
      <w:r>
        <w:separator/>
      </w:r>
    </w:p>
  </w:footnote>
  <w:footnote w:type="continuationSeparator" w:id="0">
    <w:p w14:paraId="1565DB60" w14:textId="77777777" w:rsidR="00B86B66" w:rsidRDefault="00B86B66" w:rsidP="00B86B66">
      <w:pPr>
        <w:spacing w:after="0" w:line="240" w:lineRule="auto"/>
      </w:pPr>
      <w:r>
        <w:continuationSeparator/>
      </w:r>
    </w:p>
  </w:footnote>
  <w:footnote w:type="continuationNotice" w:id="1">
    <w:p w14:paraId="237E8513" w14:textId="77777777" w:rsidR="00BC20D8" w:rsidRDefault="00BC20D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BD"/>
    <w:rsid w:val="00014B70"/>
    <w:rsid w:val="00035CA2"/>
    <w:rsid w:val="00163ADA"/>
    <w:rsid w:val="001A73B3"/>
    <w:rsid w:val="002238FF"/>
    <w:rsid w:val="0023677C"/>
    <w:rsid w:val="00240CBD"/>
    <w:rsid w:val="00244891"/>
    <w:rsid w:val="00313FAB"/>
    <w:rsid w:val="00337274"/>
    <w:rsid w:val="005B7EE5"/>
    <w:rsid w:val="00761728"/>
    <w:rsid w:val="007D7895"/>
    <w:rsid w:val="0080055A"/>
    <w:rsid w:val="008739CF"/>
    <w:rsid w:val="00A24F2D"/>
    <w:rsid w:val="00AD47C8"/>
    <w:rsid w:val="00B86B66"/>
    <w:rsid w:val="00B971DE"/>
    <w:rsid w:val="00BC20D8"/>
    <w:rsid w:val="00FB433D"/>
    <w:rsid w:val="01CF5252"/>
    <w:rsid w:val="093C95B1"/>
    <w:rsid w:val="099344A7"/>
    <w:rsid w:val="0B8AA3A3"/>
    <w:rsid w:val="0E7CBE0B"/>
    <w:rsid w:val="157B6BB9"/>
    <w:rsid w:val="17391999"/>
    <w:rsid w:val="18973E71"/>
    <w:rsid w:val="202E9672"/>
    <w:rsid w:val="22603B4D"/>
    <w:rsid w:val="261F3763"/>
    <w:rsid w:val="282AFCC3"/>
    <w:rsid w:val="31C64802"/>
    <w:rsid w:val="3987DA5D"/>
    <w:rsid w:val="3D6F9007"/>
    <w:rsid w:val="412E574C"/>
    <w:rsid w:val="41ADCABD"/>
    <w:rsid w:val="4C5DE8A8"/>
    <w:rsid w:val="4D6D6F21"/>
    <w:rsid w:val="580F0E35"/>
    <w:rsid w:val="5B3C30EA"/>
    <w:rsid w:val="5B754E4F"/>
    <w:rsid w:val="6042FFB5"/>
    <w:rsid w:val="60D4F1AC"/>
    <w:rsid w:val="657A697F"/>
    <w:rsid w:val="689159AF"/>
    <w:rsid w:val="70EB2524"/>
    <w:rsid w:val="71A1AFAC"/>
    <w:rsid w:val="73BF6F63"/>
    <w:rsid w:val="7AEE1C53"/>
    <w:rsid w:val="7BE70B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1D94ECA"/>
  <w15:chartTrackingRefBased/>
  <w15:docId w15:val="{1ABC476E-AF16-4A20-917D-F1DC0381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rPr>
  </w:style>
  <w:style w:type="paragraph" w:customStyle="1" w:styleId="Overskrift">
    <w:name w:val="Overskrift"/>
    <w:basedOn w:val="Normal"/>
    <w:next w:val="Brdtekst"/>
    <w:pPr>
      <w:keepNext/>
      <w:spacing w:before="240" w:after="120"/>
    </w:pPr>
    <w:rPr>
      <w:rFonts w:ascii="Liberation Sans" w:eastAsia="Microsoft YaHei" w:hAnsi="Liberation Sans" w:cs="Mangal"/>
      <w:sz w:val="28"/>
      <w:szCs w:val="28"/>
    </w:rPr>
  </w:style>
  <w:style w:type="paragraph" w:styleId="Brdtekst">
    <w:name w:val="Body Text"/>
    <w:basedOn w:val="Normal"/>
    <w:pPr>
      <w:spacing w:after="140" w:line="288" w:lineRule="auto"/>
    </w:p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Register">
    <w:name w:val="Register"/>
    <w:basedOn w:val="Normal"/>
    <w:pPr>
      <w:suppressLineNumbers/>
    </w:pPr>
    <w:rPr>
      <w:rFonts w:cs="Mangal"/>
    </w:rPr>
  </w:style>
  <w:style w:type="paragraph" w:styleId="Bobletekst">
    <w:name w:val="Balloon Text"/>
    <w:basedOn w:val="Normal"/>
    <w:pPr>
      <w:spacing w:after="0" w:line="240" w:lineRule="auto"/>
    </w:pPr>
    <w:rPr>
      <w:rFonts w:ascii="Tahoma" w:hAnsi="Tahoma" w:cs="Tahoma"/>
      <w:sz w:val="16"/>
      <w:szCs w:val="16"/>
    </w:rPr>
  </w:style>
  <w:style w:type="paragraph" w:styleId="Topptekst">
    <w:name w:val="header"/>
    <w:basedOn w:val="Normal"/>
    <w:link w:val="TopptekstTegn"/>
    <w:uiPriority w:val="99"/>
    <w:semiHidden/>
    <w:unhideWhenUsed/>
    <w:rsid w:val="00BC20D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BC20D8"/>
    <w:rPr>
      <w:rFonts w:ascii="Calibri" w:eastAsia="Calibri" w:hAnsi="Calibri"/>
      <w:sz w:val="22"/>
      <w:szCs w:val="22"/>
      <w:lang w:eastAsia="zh-CN"/>
    </w:rPr>
  </w:style>
  <w:style w:type="paragraph" w:styleId="Bunntekst">
    <w:name w:val="footer"/>
    <w:basedOn w:val="Normal"/>
    <w:link w:val="BunntekstTegn"/>
    <w:uiPriority w:val="99"/>
    <w:semiHidden/>
    <w:unhideWhenUsed/>
    <w:rsid w:val="00BC20D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BC20D8"/>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3AFC9C2C476C43A0EBC83FD12C3506" ma:contentTypeVersion="6" ma:contentTypeDescription="Opprett et nytt dokument." ma:contentTypeScope="" ma:versionID="188a3772fb1c23c65ad485c3190a2d5b">
  <xsd:schema xmlns:xsd="http://www.w3.org/2001/XMLSchema" xmlns:xs="http://www.w3.org/2001/XMLSchema" xmlns:p="http://schemas.microsoft.com/office/2006/metadata/properties" xmlns:ns2="0407ded1-0cca-4a9c-a9ed-3adc42b62707" xmlns:ns3="1b3efd35-8258-464b-ae98-a25615be8447" targetNamespace="http://schemas.microsoft.com/office/2006/metadata/properties" ma:root="true" ma:fieldsID="bb2269cfdd70a58cba1c3b6845a6ad30" ns2:_="" ns3:_="">
    <xsd:import namespace="0407ded1-0cca-4a9c-a9ed-3adc42b62707"/>
    <xsd:import namespace="1b3efd35-8258-464b-ae98-a25615be84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ded1-0cca-4a9c-a9ed-3adc42b6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3efd35-8258-464b-ae98-a25615be844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33FFA-3C50-4B45-92DF-67ED79C62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ded1-0cca-4a9c-a9ed-3adc42b62707"/>
    <ds:schemaRef ds:uri="1b3efd35-8258-464b-ae98-a25615be8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E76B1-3537-487D-9749-76294C679267}">
  <ds:schemaRefs>
    <ds:schemaRef ds:uri="http://schemas.microsoft.com/sharepoint/v3/contenttype/forms"/>
  </ds:schemaRefs>
</ds:datastoreItem>
</file>

<file path=customXml/itemProps3.xml><?xml version="1.0" encoding="utf-8"?>
<ds:datastoreItem xmlns:ds="http://schemas.openxmlformats.org/officeDocument/2006/customXml" ds:itemID="{F3AD6775-C2F7-4C59-A3C3-76E1B3FDFAEB}">
  <ds:schemaRefs>
    <ds:schemaRef ds:uri="http://schemas.microsoft.com/office/2006/metadata/longProperties"/>
  </ds:schemaRefs>
</ds:datastoreItem>
</file>

<file path=customXml/itemProps4.xml><?xml version="1.0" encoding="utf-8"?>
<ds:datastoreItem xmlns:ds="http://schemas.openxmlformats.org/officeDocument/2006/customXml" ds:itemID="{C5DE0290-E089-49C0-81D8-D23FDE0E99B8}">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1b3efd35-8258-464b-ae98-a25615be8447"/>
    <ds:schemaRef ds:uri="0407ded1-0cca-4a9c-a9ed-3adc42b6270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3790</Characters>
  <Application>Microsoft Office Word</Application>
  <DocSecurity>0</DocSecurity>
  <Lines>31</Lines>
  <Paragraphs>8</Paragraphs>
  <ScaleCrop>false</ScaleCrop>
  <Company>Hewlett-Packard</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Kristen Wiig</dc:creator>
  <cp:keywords/>
  <cp:lastModifiedBy>Eirik Lønne</cp:lastModifiedBy>
  <cp:revision>2</cp:revision>
  <cp:lastPrinted>2015-10-12T20:41:00Z</cp:lastPrinted>
  <dcterms:created xsi:type="dcterms:W3CDTF">2023-08-31T05:51:00Z</dcterms:created>
  <dcterms:modified xsi:type="dcterms:W3CDTF">2023-08-31T05:51:00Z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Gjesdal, Thor</vt:lpwstr>
  </property>
  <property fmtid="{D5CDD505-2E9C-101B-9397-08002B2CF9AE}" pid="4" name="Order">
    <vt:lpwstr>24487900.0000000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Gjesdal, Thor</vt:lpwstr>
  </property>
  <property fmtid="{D5CDD505-2E9C-101B-9397-08002B2CF9AE}" pid="10" name="ContentTypeId">
    <vt:lpwstr>0x0101003C3AFC9C2C476C43A0EBC83FD12C3506</vt:lpwstr>
  </property>
  <property fmtid="{D5CDD505-2E9C-101B-9397-08002B2CF9AE}" pid="11" name="TriggerFlowInfo">
    <vt:lpwstr/>
  </property>
  <property fmtid="{D5CDD505-2E9C-101B-9397-08002B2CF9AE}" pid="12" name="MSIP_Label_f876794c-8cc1-4553-ade2-1b635d166220_Enabled">
    <vt:lpwstr>true</vt:lpwstr>
  </property>
  <property fmtid="{D5CDD505-2E9C-101B-9397-08002B2CF9AE}" pid="13" name="MSIP_Label_f876794c-8cc1-4553-ade2-1b635d166220_SetDate">
    <vt:lpwstr>2023-01-31T13:10:35Z</vt:lpwstr>
  </property>
  <property fmtid="{D5CDD505-2E9C-101B-9397-08002B2CF9AE}" pid="14" name="MSIP_Label_f876794c-8cc1-4553-ade2-1b635d166220_Method">
    <vt:lpwstr>Standard</vt:lpwstr>
  </property>
  <property fmtid="{D5CDD505-2E9C-101B-9397-08002B2CF9AE}" pid="15" name="MSIP_Label_f876794c-8cc1-4553-ade2-1b635d166220_Name">
    <vt:lpwstr>Åpen informasjon</vt:lpwstr>
  </property>
  <property fmtid="{D5CDD505-2E9C-101B-9397-08002B2CF9AE}" pid="16" name="MSIP_Label_f876794c-8cc1-4553-ade2-1b635d166220_SiteId">
    <vt:lpwstr>4e14915f-a3fe-45aa-92c3-9d87465eda00</vt:lpwstr>
  </property>
  <property fmtid="{D5CDD505-2E9C-101B-9397-08002B2CF9AE}" pid="17" name="MSIP_Label_f876794c-8cc1-4553-ade2-1b635d166220_ActionId">
    <vt:lpwstr>4df65c27-db56-46c5-99fa-78e9e5372369</vt:lpwstr>
  </property>
  <property fmtid="{D5CDD505-2E9C-101B-9397-08002B2CF9AE}" pid="18" name="MSIP_Label_f876794c-8cc1-4553-ade2-1b635d166220_ContentBits">
    <vt:lpwstr>0</vt:lpwstr>
  </property>
</Properties>
</file>